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EC5A99" w:rsidRDefault="00F92268" w:rsidP="00850792">
      <w:pPr>
        <w:pStyle w:val="BodyText"/>
        <w:rPr>
          <w:sz w:val="6"/>
          <w:szCs w:val="6"/>
        </w:rPr>
      </w:pPr>
      <w:r w:rsidRPr="00EC5A99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EC5A99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5A99" w:rsidRDefault="00F92268" w:rsidP="00F246C7">
            <w:pPr>
              <w:pStyle w:val="RefTableData"/>
            </w:pPr>
            <w:r w:rsidRPr="00EC5A99">
              <w:t>Reference number(s)</w:t>
            </w:r>
          </w:p>
        </w:tc>
      </w:tr>
      <w:tr w:rsidR="00F92268" w:rsidRPr="00EC5A99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F0A53D2" w:rsidR="00F92268" w:rsidRPr="00EC5A99" w:rsidRDefault="0015188C" w:rsidP="00F246C7">
            <w:pPr>
              <w:pStyle w:val="RefTableHeader"/>
            </w:pPr>
            <w:r w:rsidRPr="00EC5A99">
              <w:t>2342-A</w:t>
            </w:r>
          </w:p>
        </w:tc>
      </w:tr>
    </w:tbl>
    <w:p w14:paraId="74FBA5B4" w14:textId="77777777" w:rsidR="00051356" w:rsidRPr="00EC5A99" w:rsidRDefault="00051356" w:rsidP="00A672B3">
      <w:pPr>
        <w:pStyle w:val="BodyText"/>
        <w:rPr>
          <w:b/>
          <w:bCs/>
          <w:sz w:val="16"/>
          <w:szCs w:val="16"/>
        </w:rPr>
        <w:sectPr w:rsidR="00051356" w:rsidRPr="00EC5A99" w:rsidSect="004E3728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</w:p>
    <w:p w14:paraId="55D071AE" w14:textId="55B83CF7" w:rsidR="00041200" w:rsidRPr="00EC5A99" w:rsidRDefault="0015188C" w:rsidP="0015188C">
      <w:pPr>
        <w:pStyle w:val="Heading1"/>
      </w:pPr>
      <w:r w:rsidRPr="00EC5A99">
        <w:t>Specialty Guideline Management</w:t>
      </w:r>
      <w:r w:rsidR="008C54D9" w:rsidRPr="00EC5A99">
        <w:br/>
      </w:r>
      <w:proofErr w:type="spellStart"/>
      <w:r w:rsidRPr="00EC5A99">
        <w:t>Verzenio</w:t>
      </w:r>
      <w:proofErr w:type="spellEnd"/>
    </w:p>
    <w:p w14:paraId="78861C92" w14:textId="7D33DE94" w:rsidR="00203468" w:rsidRPr="00EC5A99" w:rsidRDefault="00C64534" w:rsidP="008E0F0D">
      <w:pPr>
        <w:pStyle w:val="Heading2"/>
      </w:pPr>
      <w:r w:rsidRPr="00EC5A99">
        <w:t xml:space="preserve">Products Referenced by this </w:t>
      </w:r>
      <w:r w:rsidR="00501602" w:rsidRPr="00EC5A99">
        <w:t>Document</w:t>
      </w:r>
    </w:p>
    <w:p w14:paraId="07868740" w14:textId="4D2CC262" w:rsidR="00725714" w:rsidRPr="00EC5A99" w:rsidRDefault="00D82D85" w:rsidP="0015188C">
      <w:pPr>
        <w:pStyle w:val="BodyText"/>
      </w:pPr>
      <w:r w:rsidRPr="00EC5A99">
        <w:t xml:space="preserve">Drugs that are listed in the </w:t>
      </w:r>
      <w:r w:rsidR="000315F1" w:rsidRPr="00EC5A99">
        <w:t>following table</w:t>
      </w:r>
      <w:r w:rsidRPr="00EC5A99">
        <w:t xml:space="preserve"> include both brand and generic and all dosage forms and strengths unless otherwise stated. </w:t>
      </w:r>
      <w:r w:rsidR="00322958">
        <w:t>Over</w:t>
      </w:r>
      <w:r w:rsidR="00AE5D98">
        <w:t>-</w:t>
      </w:r>
      <w:r w:rsidR="00322958">
        <w:t>the</w:t>
      </w:r>
      <w:r w:rsidR="00AE5D98">
        <w:t>-</w:t>
      </w:r>
      <w:r w:rsidR="00322958">
        <w:t>counter (</w:t>
      </w:r>
      <w:r w:rsidRPr="00EC5A99">
        <w:t>OTC</w:t>
      </w:r>
      <w:r w:rsidR="00322958">
        <w:t>)</w:t>
      </w:r>
      <w:r w:rsidRPr="00EC5A99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EC5A99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EC5A99" w:rsidRDefault="005B4D7C">
            <w:pPr>
              <w:pStyle w:val="TableHeader"/>
            </w:pPr>
            <w:r w:rsidRPr="00EC5A99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EC5A99" w:rsidRDefault="005B4D7C">
            <w:pPr>
              <w:pStyle w:val="TableHeader"/>
            </w:pPr>
            <w:r w:rsidRPr="00EC5A99">
              <w:t>Generic Name</w:t>
            </w:r>
          </w:p>
        </w:tc>
      </w:tr>
      <w:tr w:rsidR="005B4D7C" w:rsidRPr="00EC5A99" w14:paraId="7742B1EC" w14:textId="77777777">
        <w:trPr>
          <w:cantSplit/>
        </w:trPr>
        <w:tc>
          <w:tcPr>
            <w:tcW w:w="5265" w:type="dxa"/>
          </w:tcPr>
          <w:p w14:paraId="4DED0C9B" w14:textId="2CA0543F" w:rsidR="005B4D7C" w:rsidRPr="00EC5A99" w:rsidRDefault="0015188C">
            <w:pPr>
              <w:pStyle w:val="TableDataUnpadded"/>
            </w:pPr>
            <w:proofErr w:type="spellStart"/>
            <w:r w:rsidRPr="00EC5A99">
              <w:t>Verzenio</w:t>
            </w:r>
            <w:proofErr w:type="spellEnd"/>
          </w:p>
        </w:tc>
        <w:tc>
          <w:tcPr>
            <w:tcW w:w="5595" w:type="dxa"/>
          </w:tcPr>
          <w:p w14:paraId="1A09710D" w14:textId="00247434" w:rsidR="005B4D7C" w:rsidRPr="00EC5A99" w:rsidRDefault="0015188C">
            <w:pPr>
              <w:pStyle w:val="TableDataUnpadded"/>
            </w:pPr>
            <w:proofErr w:type="spellStart"/>
            <w:r w:rsidRPr="00EC5A99">
              <w:t>abemaciclib</w:t>
            </w:r>
            <w:proofErr w:type="spellEnd"/>
          </w:p>
        </w:tc>
      </w:tr>
    </w:tbl>
    <w:p w14:paraId="14CE6108" w14:textId="2A978888" w:rsidR="00FC1AAD" w:rsidRPr="00EC5A99" w:rsidRDefault="00ED052F" w:rsidP="00AA2A94">
      <w:pPr>
        <w:pStyle w:val="Heading2"/>
        <w:tabs>
          <w:tab w:val="left" w:pos="9540"/>
        </w:tabs>
      </w:pPr>
      <w:r w:rsidRPr="00EC5A99">
        <w:t>Indications</w:t>
      </w:r>
    </w:p>
    <w:p w14:paraId="2DB9B4A5" w14:textId="3C865E63" w:rsidR="0015188C" w:rsidRPr="00EC5A99" w:rsidRDefault="0015188C" w:rsidP="0015188C">
      <w:pPr>
        <w:pStyle w:val="BodyText"/>
      </w:pPr>
      <w:r w:rsidRPr="00EC5A99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B17E477" w:rsidR="00ED052F" w:rsidRPr="00EC5A99" w:rsidRDefault="00ED052F" w:rsidP="00ED052F">
      <w:pPr>
        <w:pStyle w:val="Heading3"/>
        <w:keepNext w:val="0"/>
      </w:pPr>
      <w:r w:rsidRPr="00EC5A99">
        <w:t>FDA-</w:t>
      </w:r>
      <w:r w:rsidR="00804713">
        <w:t>A</w:t>
      </w:r>
      <w:r w:rsidRPr="00EC5A99">
        <w:t>pproved Indications</w:t>
      </w:r>
      <w:r w:rsidR="0015188C" w:rsidRPr="00804713">
        <w:rPr>
          <w:vertAlign w:val="superscript"/>
        </w:rPr>
        <w:t>1</w:t>
      </w:r>
    </w:p>
    <w:p w14:paraId="78165C31" w14:textId="5E76E0A0" w:rsidR="0015188C" w:rsidRPr="00EC5A99" w:rsidRDefault="0015188C" w:rsidP="0015188C">
      <w:pPr>
        <w:pStyle w:val="BodyText"/>
      </w:pPr>
      <w:proofErr w:type="spellStart"/>
      <w:r w:rsidRPr="00EC5A99">
        <w:t>Verzenio</w:t>
      </w:r>
      <w:proofErr w:type="spellEnd"/>
      <w:r w:rsidRPr="00EC5A99">
        <w:t xml:space="preserve"> is indicated:</w:t>
      </w:r>
    </w:p>
    <w:p w14:paraId="1A579B50" w14:textId="721420BB" w:rsidR="0015188C" w:rsidRPr="00804713" w:rsidRDefault="0015188C" w:rsidP="00804713">
      <w:pPr>
        <w:pStyle w:val="ListParagraph"/>
        <w:numPr>
          <w:ilvl w:val="0"/>
          <w:numId w:val="39"/>
        </w:numPr>
      </w:pPr>
      <w:r w:rsidRPr="00804713">
        <w:t>Early Breast Cancer</w:t>
      </w:r>
    </w:p>
    <w:p w14:paraId="2EA43378" w14:textId="1F8BA246" w:rsidR="0015188C" w:rsidRPr="00804713" w:rsidRDefault="0015188C" w:rsidP="00804713">
      <w:pPr>
        <w:pStyle w:val="ListParagraph"/>
        <w:numPr>
          <w:ilvl w:val="1"/>
          <w:numId w:val="39"/>
        </w:numPr>
      </w:pPr>
      <w:r w:rsidRPr="00804713">
        <w:t>In combination with endocrine therapy (tamoxifen or an aromatase inhibitor) for the adjuvant treatment of adult patients with hormone receptor (HR)-positive, human epidermal growth factor receptor 2 (HER2)-negative, node-positive, early breast cancer at high risk of recurrence.</w:t>
      </w:r>
    </w:p>
    <w:p w14:paraId="0EFE6DB6" w14:textId="6DF283CA" w:rsidR="0015188C" w:rsidRPr="00804713" w:rsidRDefault="0015188C" w:rsidP="00804713">
      <w:pPr>
        <w:pStyle w:val="ListParagraph"/>
        <w:numPr>
          <w:ilvl w:val="0"/>
          <w:numId w:val="39"/>
        </w:numPr>
      </w:pPr>
      <w:r w:rsidRPr="00804713">
        <w:t>Advanced or Metastatic Breast Cancer</w:t>
      </w:r>
    </w:p>
    <w:p w14:paraId="3E9557E0" w14:textId="492A0B02" w:rsidR="0015188C" w:rsidRPr="00804713" w:rsidRDefault="0015188C" w:rsidP="00804713">
      <w:pPr>
        <w:pStyle w:val="ListParagraph"/>
        <w:numPr>
          <w:ilvl w:val="1"/>
          <w:numId w:val="39"/>
        </w:numPr>
      </w:pPr>
      <w:r w:rsidRPr="00804713">
        <w:t>In combination with an aromatase inhibitor as initial endocrine-based therapy for the treatment of adult patients with hormone receptor (HR)-positive, human epidermal growth factor receptor 2 (HER2)-negative advanced or metastatic breast cancer.</w:t>
      </w:r>
    </w:p>
    <w:p w14:paraId="025914FB" w14:textId="77777777" w:rsidR="0015188C" w:rsidRPr="00804713" w:rsidRDefault="0015188C" w:rsidP="00804713">
      <w:pPr>
        <w:pStyle w:val="ListParagraph"/>
        <w:numPr>
          <w:ilvl w:val="1"/>
          <w:numId w:val="39"/>
        </w:numPr>
      </w:pPr>
      <w:r w:rsidRPr="00804713">
        <w:t>In combination with fulvestrant for the treatment of adult patients with HR-positive, HER2-negative advanced or metastatic breast cancer with disease progression following endocrine therapy.</w:t>
      </w:r>
    </w:p>
    <w:p w14:paraId="138361BD" w14:textId="2E86842D" w:rsidR="0015188C" w:rsidRPr="00804713" w:rsidRDefault="0015188C" w:rsidP="00804713">
      <w:pPr>
        <w:pStyle w:val="ListParagraph"/>
        <w:numPr>
          <w:ilvl w:val="1"/>
          <w:numId w:val="39"/>
        </w:numPr>
      </w:pPr>
      <w:r w:rsidRPr="00804713">
        <w:lastRenderedPageBreak/>
        <w:t>As monotherapy for the treatment of adult patients with HR-positive, HER2-negative advanced or metastatic breast cancer with disease progression following endocrine therapy and prior chemotherapy in the metastatic setting.</w:t>
      </w:r>
    </w:p>
    <w:p w14:paraId="0B5EC236" w14:textId="7522C9D7" w:rsidR="0044763A" w:rsidRPr="00EC5A99" w:rsidRDefault="009F2EF1" w:rsidP="0044763A">
      <w:pPr>
        <w:pStyle w:val="Heading3"/>
      </w:pPr>
      <w:r w:rsidRPr="00EC5A99">
        <w:t>Compendial Uses</w:t>
      </w:r>
      <w:r w:rsidR="0015188C" w:rsidRPr="00804713">
        <w:rPr>
          <w:vertAlign w:val="superscript"/>
        </w:rPr>
        <w:t>2</w:t>
      </w:r>
    </w:p>
    <w:p w14:paraId="7296FEAF" w14:textId="77777777" w:rsidR="0015188C" w:rsidRPr="00EC5A99" w:rsidRDefault="0015188C" w:rsidP="0015188C">
      <w:pPr>
        <w:pStyle w:val="ListParagraph"/>
      </w:pPr>
      <w:r w:rsidRPr="00EC5A99">
        <w:t>Breast cancer: Therapy for recurrent HR-positive, HER2-negative disease.</w:t>
      </w:r>
    </w:p>
    <w:p w14:paraId="4FF22134" w14:textId="25B579C9" w:rsidR="0015188C" w:rsidRPr="00EC5A99" w:rsidRDefault="0015188C" w:rsidP="0015188C">
      <w:pPr>
        <w:pStyle w:val="ListParagraph"/>
      </w:pPr>
      <w:r w:rsidRPr="00EC5A99">
        <w:t>Endometrial carcinoma</w:t>
      </w:r>
    </w:p>
    <w:p w14:paraId="0D5A9DD5" w14:textId="77777777" w:rsidR="009A5649" w:rsidRPr="00EC5A99" w:rsidRDefault="009A5649" w:rsidP="009A5649">
      <w:pPr>
        <w:pStyle w:val="BodyText"/>
        <w:rPr>
          <w:rFonts w:eastAsia="Arial"/>
        </w:rPr>
      </w:pPr>
      <w:r w:rsidRPr="00EC5A99">
        <w:t xml:space="preserve">All other indications are considered experimental/investigational and </w:t>
      </w:r>
      <w:r w:rsidRPr="00EC5A99">
        <w:rPr>
          <w:rFonts w:eastAsia="Arial"/>
        </w:rPr>
        <w:t xml:space="preserve">not medically necessary. </w:t>
      </w:r>
    </w:p>
    <w:p w14:paraId="36381B6D" w14:textId="58C62527" w:rsidR="000D2496" w:rsidRPr="00EC5A99" w:rsidRDefault="000D2496" w:rsidP="000D2496">
      <w:pPr>
        <w:pStyle w:val="Heading2"/>
      </w:pPr>
      <w:r w:rsidRPr="00EC5A99">
        <w:t>Documentation</w:t>
      </w:r>
    </w:p>
    <w:p w14:paraId="2180ED6E" w14:textId="77777777" w:rsidR="000D2496" w:rsidRPr="00EC5A99" w:rsidRDefault="000D2496" w:rsidP="000D2496">
      <w:pPr>
        <w:pStyle w:val="BodyText"/>
      </w:pPr>
      <w:r w:rsidRPr="00EC5A99">
        <w:t xml:space="preserve">Submission of the following information is necessary to initiate the prior authorization review: </w:t>
      </w:r>
    </w:p>
    <w:p w14:paraId="2A7A734F" w14:textId="77777777" w:rsidR="0015188C" w:rsidRPr="00EC5A99" w:rsidRDefault="0015188C" w:rsidP="00804713">
      <w:pPr>
        <w:pStyle w:val="ListParagraph"/>
        <w:numPr>
          <w:ilvl w:val="0"/>
          <w:numId w:val="40"/>
        </w:numPr>
      </w:pPr>
      <w:r w:rsidRPr="00EC5A99">
        <w:t>For members requesting initiation of therapy for the treatment of breast cancer: documentation of laboratory results confirming hormone receptor (HR) status and HER2 status</w:t>
      </w:r>
    </w:p>
    <w:p w14:paraId="0BE782C2" w14:textId="36A65DEA" w:rsidR="0015188C" w:rsidRPr="00EC5A99" w:rsidRDefault="0015188C" w:rsidP="00804713">
      <w:pPr>
        <w:pStyle w:val="ListParagraph"/>
        <w:numPr>
          <w:ilvl w:val="0"/>
          <w:numId w:val="40"/>
        </w:numPr>
      </w:pPr>
      <w:r w:rsidRPr="00EC5A99">
        <w:t>For members requesting initiation of therapy for the treatment of endometrial carcinoma: results of estrogen receptor status</w:t>
      </w:r>
    </w:p>
    <w:p w14:paraId="50A38FBA" w14:textId="6CF52AA9" w:rsidR="00FE0C63" w:rsidRPr="00EC5A99" w:rsidRDefault="00685107" w:rsidP="00E050E1">
      <w:pPr>
        <w:pStyle w:val="Heading2"/>
      </w:pPr>
      <w:r w:rsidRPr="00EC5A99">
        <w:t>Coverage Criteria</w:t>
      </w:r>
    </w:p>
    <w:p w14:paraId="51B77249" w14:textId="2464D2C8" w:rsidR="00325314" w:rsidRPr="00EC5A99" w:rsidRDefault="00325314" w:rsidP="00325314">
      <w:pPr>
        <w:pStyle w:val="Heading3"/>
      </w:pPr>
      <w:r w:rsidRPr="00EC5A99">
        <w:t>Breast Cancer</w:t>
      </w:r>
      <w:r w:rsidRPr="00804713">
        <w:rPr>
          <w:vertAlign w:val="superscript"/>
        </w:rPr>
        <w:t>1-4</w:t>
      </w:r>
    </w:p>
    <w:p w14:paraId="613414BC" w14:textId="4739148C" w:rsidR="00325314" w:rsidRPr="00EC5A99" w:rsidRDefault="00325314" w:rsidP="00804713">
      <w:pPr>
        <w:pStyle w:val="BodyText"/>
      </w:pPr>
      <w:r w:rsidRPr="00EC5A99">
        <w:t>Authorization of 12 months may be granted for the treatment of HR-positive, HER2-negative, early breast cancer when all of the following criteria are met:</w:t>
      </w:r>
    </w:p>
    <w:p w14:paraId="60149AF7" w14:textId="1B69E31E" w:rsidR="00325314" w:rsidRPr="00EC5A99" w:rsidRDefault="00325314" w:rsidP="00804713">
      <w:pPr>
        <w:pStyle w:val="ListParagraph"/>
        <w:numPr>
          <w:ilvl w:val="0"/>
          <w:numId w:val="41"/>
        </w:numPr>
      </w:pPr>
      <w:r w:rsidRPr="00EC5A99">
        <w:t>The requested medication is used as adjuvant treatment, in combination with endocrine therapy (tamoxifen or an aromatase inhibitor)</w:t>
      </w:r>
    </w:p>
    <w:p w14:paraId="02DEF8D0" w14:textId="1189F197" w:rsidR="00325314" w:rsidRPr="00EC5A99" w:rsidRDefault="00325314" w:rsidP="00804713">
      <w:pPr>
        <w:pStyle w:val="ListParagraph"/>
        <w:numPr>
          <w:ilvl w:val="0"/>
          <w:numId w:val="41"/>
        </w:numPr>
      </w:pPr>
      <w:r w:rsidRPr="00EC5A99">
        <w:t>The member has either:</w:t>
      </w:r>
    </w:p>
    <w:p w14:paraId="1DDD9611" w14:textId="77777777" w:rsidR="00325314" w:rsidRPr="00EC5A99" w:rsidRDefault="00325314" w:rsidP="00804713">
      <w:pPr>
        <w:pStyle w:val="ListParagraph"/>
        <w:numPr>
          <w:ilvl w:val="1"/>
          <w:numId w:val="41"/>
        </w:numPr>
      </w:pPr>
      <w:r w:rsidRPr="00EC5A99">
        <w:t>Four or more positive lymph nodes; or</w:t>
      </w:r>
    </w:p>
    <w:p w14:paraId="659A89CD" w14:textId="58D2D10F" w:rsidR="00325314" w:rsidRPr="00EC5A99" w:rsidRDefault="00325314" w:rsidP="00804713">
      <w:pPr>
        <w:pStyle w:val="ListParagraph"/>
        <w:numPr>
          <w:ilvl w:val="1"/>
          <w:numId w:val="41"/>
        </w:numPr>
      </w:pPr>
      <w:r w:rsidRPr="00EC5A99">
        <w:t>One to three positive lymph nodes and at least one of the following: grade 3 disease or tumor size of 5 cm or greater</w:t>
      </w:r>
    </w:p>
    <w:p w14:paraId="788DFE28" w14:textId="1BDFE0AE" w:rsidR="00325314" w:rsidRPr="00EC5A99" w:rsidRDefault="00325314" w:rsidP="00804713">
      <w:pPr>
        <w:pStyle w:val="BodyText"/>
      </w:pPr>
      <w:r w:rsidRPr="00EC5A99">
        <w:t>Authorization of 12 months may be granted for the treatment of HR-positive, HER2-negative, recurrent</w:t>
      </w:r>
      <w:r w:rsidR="00085D9A">
        <w:t xml:space="preserve"> </w:t>
      </w:r>
      <w:r w:rsidRPr="00EC5A99">
        <w:t>or metastatic breast cancer and the requested medication is used in any of the following regimens:</w:t>
      </w:r>
    </w:p>
    <w:p w14:paraId="1665C2CB" w14:textId="77777777" w:rsidR="00325314" w:rsidRPr="00EC5A99" w:rsidRDefault="00325314" w:rsidP="00804713">
      <w:pPr>
        <w:pStyle w:val="ListParagraph"/>
        <w:numPr>
          <w:ilvl w:val="0"/>
          <w:numId w:val="42"/>
        </w:numPr>
      </w:pPr>
      <w:r w:rsidRPr="00EC5A99">
        <w:t>As monotherapy for a member who has experienced disease progression following endocrine therapy and prior chemotherapy in the metastatic setting; or</w:t>
      </w:r>
    </w:p>
    <w:p w14:paraId="58EEB52B" w14:textId="77777777" w:rsidR="00325314" w:rsidRPr="00EC5A99" w:rsidRDefault="00325314" w:rsidP="00804713">
      <w:pPr>
        <w:pStyle w:val="ListParagraph"/>
        <w:numPr>
          <w:ilvl w:val="0"/>
          <w:numId w:val="42"/>
        </w:numPr>
      </w:pPr>
      <w:r w:rsidRPr="00EC5A99">
        <w:t xml:space="preserve">In combination with fulvestrant; or </w:t>
      </w:r>
    </w:p>
    <w:p w14:paraId="751157AF" w14:textId="58A92124" w:rsidR="00325314" w:rsidRPr="00EC5A99" w:rsidRDefault="00325314" w:rsidP="00804713">
      <w:pPr>
        <w:pStyle w:val="ListParagraph"/>
        <w:numPr>
          <w:ilvl w:val="0"/>
          <w:numId w:val="42"/>
        </w:numPr>
      </w:pPr>
      <w:r w:rsidRPr="00EC5A99">
        <w:t>In combination with an aromatase inhibitor (e.g., letrozole, anastrazole, exemestane).</w:t>
      </w:r>
    </w:p>
    <w:p w14:paraId="2819F927" w14:textId="499BA72A" w:rsidR="00325314" w:rsidRPr="00EC5A99" w:rsidRDefault="00325314" w:rsidP="00325314">
      <w:pPr>
        <w:pStyle w:val="Heading3"/>
      </w:pPr>
      <w:r w:rsidRPr="00EC5A99">
        <w:t>Endometrial Carcinoma</w:t>
      </w:r>
      <w:r w:rsidRPr="00804713">
        <w:rPr>
          <w:vertAlign w:val="superscript"/>
        </w:rPr>
        <w:t>2</w:t>
      </w:r>
    </w:p>
    <w:p w14:paraId="0A6942D6" w14:textId="18CA4BCD" w:rsidR="00325314" w:rsidRDefault="00325314" w:rsidP="00804713">
      <w:pPr>
        <w:pStyle w:val="BodyText"/>
      </w:pPr>
      <w:r w:rsidRPr="00EC5A99">
        <w:t>Authorization of 12 months may be granted for the treatment of recurrent or metastatic endometrial carcinoma with estrogen receptor positive tumors when used in combination with letrozole.</w:t>
      </w:r>
    </w:p>
    <w:p w14:paraId="3A643EC3" w14:textId="2F4B8915" w:rsidR="00A501AC" w:rsidRPr="00EC5A99" w:rsidRDefault="00A501AC" w:rsidP="00A501AC">
      <w:pPr>
        <w:pStyle w:val="Heading2"/>
      </w:pPr>
      <w:r w:rsidRPr="00EC5A99">
        <w:t>Continuation of Therapy</w:t>
      </w:r>
    </w:p>
    <w:p w14:paraId="26860C29" w14:textId="2226C479" w:rsidR="00325314" w:rsidRPr="00EC5A99" w:rsidRDefault="00325314" w:rsidP="00325314">
      <w:pPr>
        <w:pStyle w:val="Heading3"/>
      </w:pPr>
      <w:r w:rsidRPr="00EC5A99">
        <w:t>Early Breast Cancer</w:t>
      </w:r>
    </w:p>
    <w:p w14:paraId="7F8D4F44" w14:textId="77777777" w:rsidR="00325314" w:rsidRPr="00EC5A99" w:rsidRDefault="00325314" w:rsidP="00325314">
      <w:pPr>
        <w:pStyle w:val="BodyText"/>
      </w:pPr>
      <w:r w:rsidRPr="00EC5A99">
        <w:t>Authorization of 12 months may be granted for continued treatment in members requesting reauthorization for early breast cancer until completion of 2 years of treatment or until disease recurrence or unacceptable toxicity while on the current regimen.</w:t>
      </w:r>
    </w:p>
    <w:p w14:paraId="4DFC4D49" w14:textId="05B694E1" w:rsidR="00325314" w:rsidRPr="00EC5A99" w:rsidRDefault="00325314" w:rsidP="00325314">
      <w:pPr>
        <w:pStyle w:val="Heading3"/>
      </w:pPr>
      <w:r w:rsidRPr="00EC5A99">
        <w:t>Recurrent</w:t>
      </w:r>
      <w:r w:rsidR="00085D9A">
        <w:t xml:space="preserve"> </w:t>
      </w:r>
      <w:r w:rsidRPr="00EC5A99">
        <w:t>or Metastatic Breast Cancer, or Endometrial Carcinoma</w:t>
      </w:r>
    </w:p>
    <w:p w14:paraId="753DA29F" w14:textId="487A3210" w:rsidR="00325314" w:rsidRPr="00EC5A99" w:rsidRDefault="00325314" w:rsidP="00325314">
      <w:pPr>
        <w:pStyle w:val="BodyText"/>
      </w:pPr>
      <w:r w:rsidRPr="00EC5A99">
        <w:t>Authorization of 12 months may be granted for continued treatment in members requesting reauthorization for recurrent</w:t>
      </w:r>
      <w:r w:rsidR="00085D9A">
        <w:t xml:space="preserve"> </w:t>
      </w:r>
      <w:r w:rsidRPr="00EC5A99">
        <w:t>or metastatic breast cancer or endometrial carcinoma when there is no evidence of unacceptable toxicity or disease progression while on the current regimen.</w:t>
      </w:r>
    </w:p>
    <w:p w14:paraId="10DA4309" w14:textId="7FD6BB8C" w:rsidR="00FF66BF" w:rsidRPr="00EC5A99" w:rsidRDefault="00FF66BF" w:rsidP="00FF66BF">
      <w:pPr>
        <w:pStyle w:val="Heading2"/>
      </w:pPr>
      <w:r w:rsidRPr="00EC5A99">
        <w:t>References</w:t>
      </w:r>
    </w:p>
    <w:p w14:paraId="6064DABE" w14:textId="12DF5DBE" w:rsidR="00325314" w:rsidRPr="00804713" w:rsidRDefault="00325314" w:rsidP="00804713">
      <w:pPr>
        <w:pStyle w:val="ReferenceOrdered"/>
      </w:pPr>
      <w:proofErr w:type="spellStart"/>
      <w:r w:rsidRPr="00804713">
        <w:t>Verzenio</w:t>
      </w:r>
      <w:proofErr w:type="spellEnd"/>
      <w:r w:rsidRPr="00804713">
        <w:t xml:space="preserve"> [package insert]. Indianapolis, IN: Eli Lilly and Company; </w:t>
      </w:r>
      <w:r w:rsidR="00B538F4">
        <w:t>January 2024</w:t>
      </w:r>
      <w:r w:rsidRPr="00804713">
        <w:t>.</w:t>
      </w:r>
    </w:p>
    <w:p w14:paraId="18289B45" w14:textId="311C0761" w:rsidR="00325314" w:rsidRPr="00804713" w:rsidRDefault="00325314" w:rsidP="00804713">
      <w:pPr>
        <w:pStyle w:val="ReferenceOrdered"/>
      </w:pPr>
      <w:r w:rsidRPr="00804713">
        <w:t xml:space="preserve">The NCCN Drugs &amp; Biologics Compendium © </w:t>
      </w:r>
      <w:r w:rsidR="00B538F4" w:rsidRPr="00804713">
        <w:t>202</w:t>
      </w:r>
      <w:r w:rsidR="00B538F4">
        <w:t>4</w:t>
      </w:r>
      <w:r w:rsidR="00B538F4" w:rsidRPr="00804713">
        <w:t xml:space="preserve"> </w:t>
      </w:r>
      <w:r w:rsidRPr="00804713">
        <w:t>National Comprehensive Cancer Network, Inc. https://www.nccn.org. Accessed November 1</w:t>
      </w:r>
      <w:r w:rsidR="006C5419">
        <w:t>1</w:t>
      </w:r>
      <w:r w:rsidRPr="00804713">
        <w:t xml:space="preserve">, </w:t>
      </w:r>
      <w:r w:rsidR="00B538F4" w:rsidRPr="00804713">
        <w:t>202</w:t>
      </w:r>
      <w:r w:rsidR="00B538F4">
        <w:t>4</w:t>
      </w:r>
      <w:r w:rsidRPr="00804713">
        <w:t>.</w:t>
      </w:r>
    </w:p>
    <w:p w14:paraId="68D95D49" w14:textId="71CC549F" w:rsidR="00325314" w:rsidRPr="00804713" w:rsidRDefault="00325314" w:rsidP="00804713">
      <w:pPr>
        <w:pStyle w:val="ReferenceOrdered"/>
      </w:pPr>
      <w:proofErr w:type="spellStart"/>
      <w:r w:rsidRPr="00804713">
        <w:t>Dickler</w:t>
      </w:r>
      <w:proofErr w:type="spellEnd"/>
      <w:r w:rsidRPr="00804713">
        <w:t xml:space="preserve"> MN, </w:t>
      </w:r>
      <w:proofErr w:type="spellStart"/>
      <w:r w:rsidRPr="00804713">
        <w:t>Tolaney</w:t>
      </w:r>
      <w:proofErr w:type="spellEnd"/>
      <w:r w:rsidRPr="00804713">
        <w:t xml:space="preserve"> SM, </w:t>
      </w:r>
      <w:proofErr w:type="spellStart"/>
      <w:r w:rsidRPr="00804713">
        <w:t>Rugo</w:t>
      </w:r>
      <w:proofErr w:type="spellEnd"/>
      <w:r w:rsidRPr="00804713">
        <w:t xml:space="preserve"> HS, et al. MONARCH 1, a phase II study of </w:t>
      </w:r>
      <w:proofErr w:type="spellStart"/>
      <w:r w:rsidRPr="00804713">
        <w:t>abemaciclib</w:t>
      </w:r>
      <w:proofErr w:type="spellEnd"/>
      <w:r w:rsidRPr="00804713">
        <w:t>, a CDK4 and CDK6 inhibitor, as a single agent, in patients with refractory HR+/HER2- metastatic breast cancer. Clin Cancer Res. 2017;23(17):5218-5224.</w:t>
      </w:r>
      <w:r w:rsidR="000D165E" w:rsidRPr="00804713">
        <w:t xml:space="preserve"> </w:t>
      </w:r>
    </w:p>
    <w:p w14:paraId="29A52DB0" w14:textId="77777777" w:rsidR="00325314" w:rsidRPr="00804713" w:rsidRDefault="00325314" w:rsidP="00804713">
      <w:pPr>
        <w:pStyle w:val="ReferenceOrdered"/>
      </w:pPr>
      <w:r w:rsidRPr="00804713">
        <w:t xml:space="preserve">Sledge, GW Jr, Toi M, Neven P, et al. MONARCH 2: </w:t>
      </w:r>
      <w:proofErr w:type="spellStart"/>
      <w:r w:rsidRPr="00804713">
        <w:t>abemaciclib</w:t>
      </w:r>
      <w:proofErr w:type="spellEnd"/>
      <w:r w:rsidRPr="00804713">
        <w:t xml:space="preserve"> in combination with fulvestrant in women with HR+/HER2- advanced breast cancer who had progressed while receiving endocrine therapy. J Clin Oncol. 2017;35(25):2875-2884</w:t>
      </w:r>
      <w:r w:rsidR="00FF66BF" w:rsidRPr="00804713">
        <w:t>.</w:t>
      </w:r>
    </w:p>
    <w:sectPr w:rsidR="00325314" w:rsidRPr="00804713" w:rsidSect="00AE5D98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3E86D" w14:textId="77777777" w:rsidR="00753BC2" w:rsidRDefault="00753BC2">
      <w:r>
        <w:separator/>
      </w:r>
    </w:p>
  </w:endnote>
  <w:endnote w:type="continuationSeparator" w:id="0">
    <w:p w14:paraId="01C57D32" w14:textId="77777777" w:rsidR="00753BC2" w:rsidRDefault="00753BC2">
      <w:r>
        <w:continuationSeparator/>
      </w:r>
    </w:p>
  </w:endnote>
  <w:endnote w:type="continuationNotice" w:id="1">
    <w:p w14:paraId="65869256" w14:textId="77777777" w:rsidR="00753BC2" w:rsidRDefault="00753B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A0BC2D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95352" w:rsidRPr="00895352">
      <w:rPr>
        <w:rFonts w:cs="Arial"/>
        <w:noProof/>
        <w:sz w:val="16"/>
        <w:szCs w:val="16"/>
      </w:rPr>
      <w:t>Verzenio</w:t>
    </w:r>
    <w:r w:rsidR="00895352">
      <w:rPr>
        <w:rFonts w:cs="Arial"/>
        <w:noProof/>
        <w:snapToGrid w:val="0"/>
        <w:color w:val="000000"/>
        <w:sz w:val="16"/>
        <w:szCs w:val="16"/>
      </w:rPr>
      <w:t xml:space="preserve"> SGM 2342-A</w:t>
    </w:r>
    <w:r w:rsidR="00895352" w:rsidRPr="00895352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E5D9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E2F4E2E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A60812B" w:rsidR="00F75C81" w:rsidRPr="004E3728" w:rsidRDefault="00C36B72" w:rsidP="004E3728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13F278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95352" w:rsidRPr="00895352">
      <w:rPr>
        <w:rFonts w:cs="Arial"/>
        <w:noProof/>
        <w:sz w:val="16"/>
        <w:szCs w:val="16"/>
      </w:rPr>
      <w:t>Verzenio</w:t>
    </w:r>
    <w:r w:rsidR="00895352">
      <w:rPr>
        <w:rFonts w:cs="Arial"/>
        <w:noProof/>
        <w:snapToGrid w:val="0"/>
        <w:color w:val="000000"/>
        <w:sz w:val="16"/>
        <w:szCs w:val="16"/>
      </w:rPr>
      <w:t xml:space="preserve"> SGM 2342-A</w:t>
    </w:r>
    <w:r w:rsidR="00895352" w:rsidRPr="00895352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B538F4" w:rsidRPr="00EC47B6">
      <w:rPr>
        <w:rFonts w:cs="Arial"/>
        <w:snapToGrid w:val="0"/>
        <w:color w:val="000000"/>
        <w:sz w:val="16"/>
      </w:rPr>
      <w:t>202</w:t>
    </w:r>
    <w:r w:rsidR="00B538F4">
      <w:rPr>
        <w:rFonts w:cs="Arial"/>
        <w:snapToGrid w:val="0"/>
        <w:color w:val="000000"/>
        <w:sz w:val="16"/>
      </w:rPr>
      <w:t>5</w:t>
    </w:r>
    <w:r w:rsidR="00B538F4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05BFAA2C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C2015BF" w:rsidR="00ED04EC" w:rsidRPr="00F50D98" w:rsidRDefault="00F50D98" w:rsidP="009576C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F3154" w14:textId="77777777" w:rsidR="00753BC2" w:rsidRDefault="00753BC2">
      <w:r>
        <w:separator/>
      </w:r>
    </w:p>
  </w:footnote>
  <w:footnote w:type="continuationSeparator" w:id="0">
    <w:p w14:paraId="6BB58800" w14:textId="77777777" w:rsidR="00753BC2" w:rsidRDefault="00753BC2">
      <w:r>
        <w:continuationSeparator/>
      </w:r>
    </w:p>
  </w:footnote>
  <w:footnote w:type="continuationNotice" w:id="1">
    <w:p w14:paraId="6B672884" w14:textId="77777777" w:rsidR="00753BC2" w:rsidRDefault="00753B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EC5A99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EC5A99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AE1F747" w:rsidR="00ED04EC" w:rsidRPr="00EC5A99" w:rsidRDefault="0015188C" w:rsidP="00ED04EC">
          <w:pPr>
            <w:pStyle w:val="Header"/>
            <w:rPr>
              <w:rFonts w:cs="Arial"/>
              <w:sz w:val="16"/>
              <w:szCs w:val="16"/>
            </w:rPr>
          </w:pPr>
          <w:r w:rsidRPr="00EC5A99">
            <w:rPr>
              <w:rFonts w:cs="Arial"/>
              <w:sz w:val="16"/>
              <w:szCs w:val="16"/>
            </w:rPr>
            <w:t>2342-A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5B5118"/>
    <w:multiLevelType w:val="hybridMultilevel"/>
    <w:tmpl w:val="A3BAB1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39703C"/>
    <w:multiLevelType w:val="hybridMultilevel"/>
    <w:tmpl w:val="7C9AC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7D326F"/>
    <w:multiLevelType w:val="hybridMultilevel"/>
    <w:tmpl w:val="261A0F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E820D7D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F550A"/>
    <w:multiLevelType w:val="hybridMultilevel"/>
    <w:tmpl w:val="727A3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849D5"/>
    <w:multiLevelType w:val="hybridMultilevel"/>
    <w:tmpl w:val="74F2D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A5324E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A92DE7"/>
    <w:multiLevelType w:val="hybridMultilevel"/>
    <w:tmpl w:val="75EEB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1642B"/>
    <w:multiLevelType w:val="hybridMultilevel"/>
    <w:tmpl w:val="8F8A2A5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15368"/>
    <w:multiLevelType w:val="hybridMultilevel"/>
    <w:tmpl w:val="F00A4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4124F"/>
    <w:multiLevelType w:val="hybridMultilevel"/>
    <w:tmpl w:val="63DEB4B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793681"/>
    <w:multiLevelType w:val="hybridMultilevel"/>
    <w:tmpl w:val="7F2C6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2073BC"/>
    <w:multiLevelType w:val="hybridMultilevel"/>
    <w:tmpl w:val="A10E47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A70BF5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5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0"/>
  </w:num>
  <w:num w:numId="17" w16cid:durableId="2128498676">
    <w:abstractNumId w:val="39"/>
  </w:num>
  <w:num w:numId="18" w16cid:durableId="299724409">
    <w:abstractNumId w:val="30"/>
  </w:num>
  <w:num w:numId="19" w16cid:durableId="214585573">
    <w:abstractNumId w:val="16"/>
  </w:num>
  <w:num w:numId="20" w16cid:durableId="1289816170">
    <w:abstractNumId w:val="18"/>
  </w:num>
  <w:num w:numId="21" w16cid:durableId="1066490929">
    <w:abstractNumId w:val="40"/>
  </w:num>
  <w:num w:numId="22" w16cid:durableId="1472481103">
    <w:abstractNumId w:val="33"/>
  </w:num>
  <w:num w:numId="23" w16cid:durableId="1997420403">
    <w:abstractNumId w:val="36"/>
  </w:num>
  <w:num w:numId="24" w16cid:durableId="33312838">
    <w:abstractNumId w:val="31"/>
  </w:num>
  <w:num w:numId="25" w16cid:durableId="507404939">
    <w:abstractNumId w:val="19"/>
  </w:num>
  <w:num w:numId="26" w16cid:durableId="1950313333">
    <w:abstractNumId w:val="26"/>
  </w:num>
  <w:num w:numId="27" w16cid:durableId="1866016584">
    <w:abstractNumId w:val="23"/>
  </w:num>
  <w:num w:numId="28" w16cid:durableId="1336303743">
    <w:abstractNumId w:val="22"/>
  </w:num>
  <w:num w:numId="29" w16cid:durableId="2009559681">
    <w:abstractNumId w:val="10"/>
  </w:num>
  <w:num w:numId="30" w16cid:durableId="655037028">
    <w:abstractNumId w:val="32"/>
  </w:num>
  <w:num w:numId="31" w16cid:durableId="1206794566">
    <w:abstractNumId w:val="34"/>
  </w:num>
  <w:num w:numId="32" w16cid:durableId="1253974378">
    <w:abstractNumId w:val="15"/>
  </w:num>
  <w:num w:numId="33" w16cid:durableId="2133744303">
    <w:abstractNumId w:val="27"/>
  </w:num>
  <w:num w:numId="34" w16cid:durableId="417140131">
    <w:abstractNumId w:val="25"/>
  </w:num>
  <w:num w:numId="35" w16cid:durableId="1327710877">
    <w:abstractNumId w:val="21"/>
  </w:num>
  <w:num w:numId="36" w16cid:durableId="13309355">
    <w:abstractNumId w:val="37"/>
  </w:num>
  <w:num w:numId="37" w16cid:durableId="230193035">
    <w:abstractNumId w:val="29"/>
  </w:num>
  <w:num w:numId="38" w16cid:durableId="1608004633">
    <w:abstractNumId w:val="40"/>
  </w:num>
  <w:num w:numId="39" w16cid:durableId="19940873">
    <w:abstractNumId w:val="14"/>
  </w:num>
  <w:num w:numId="40" w16cid:durableId="1845431991">
    <w:abstractNumId w:val="38"/>
  </w:num>
  <w:num w:numId="41" w16cid:durableId="700399927">
    <w:abstractNumId w:val="24"/>
  </w:num>
  <w:num w:numId="42" w16cid:durableId="821198529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5D9A"/>
    <w:rsid w:val="00086953"/>
    <w:rsid w:val="00087DB9"/>
    <w:rsid w:val="00090142"/>
    <w:rsid w:val="00090C1B"/>
    <w:rsid w:val="000913DE"/>
    <w:rsid w:val="00091E1D"/>
    <w:rsid w:val="0009326E"/>
    <w:rsid w:val="00093AB5"/>
    <w:rsid w:val="000945A1"/>
    <w:rsid w:val="00094A59"/>
    <w:rsid w:val="00095B9C"/>
    <w:rsid w:val="0009781E"/>
    <w:rsid w:val="000A0CCE"/>
    <w:rsid w:val="000A1653"/>
    <w:rsid w:val="000A1ACD"/>
    <w:rsid w:val="000A201F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D96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65E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6BE9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88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661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958"/>
    <w:rsid w:val="00322EB1"/>
    <w:rsid w:val="00323534"/>
    <w:rsid w:val="003242E2"/>
    <w:rsid w:val="00325314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37B"/>
    <w:rsid w:val="00422416"/>
    <w:rsid w:val="004226CD"/>
    <w:rsid w:val="00422766"/>
    <w:rsid w:val="004236F4"/>
    <w:rsid w:val="00423C96"/>
    <w:rsid w:val="00425453"/>
    <w:rsid w:val="004260D4"/>
    <w:rsid w:val="004260DE"/>
    <w:rsid w:val="00426FF0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4D99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0E1"/>
    <w:rsid w:val="0048627F"/>
    <w:rsid w:val="00486D0D"/>
    <w:rsid w:val="00486F89"/>
    <w:rsid w:val="00486F9E"/>
    <w:rsid w:val="0048719B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85F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3728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2B6D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B5575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1B4E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419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641F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BC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2A5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713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68C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352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4B4D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2CC6"/>
    <w:rsid w:val="009036E7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3BC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C8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5D98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29A4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A2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38F4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7A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C2E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94A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49C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A98"/>
    <w:rsid w:val="00C74CD4"/>
    <w:rsid w:val="00C74F5C"/>
    <w:rsid w:val="00C75C02"/>
    <w:rsid w:val="00C76BFE"/>
    <w:rsid w:val="00C77681"/>
    <w:rsid w:val="00C77D90"/>
    <w:rsid w:val="00C80757"/>
    <w:rsid w:val="00C808F0"/>
    <w:rsid w:val="00C809E5"/>
    <w:rsid w:val="00C846AC"/>
    <w:rsid w:val="00C8494C"/>
    <w:rsid w:val="00C85BB7"/>
    <w:rsid w:val="00C86B76"/>
    <w:rsid w:val="00C86EE2"/>
    <w:rsid w:val="00C87920"/>
    <w:rsid w:val="00C87992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BD4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4FF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5E12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5A99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D7E27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8E0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BF2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5D8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844864-3936-4C2C-B6A6-F5F9A3A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7424A2AB-5649-4072-A73F-A48DF257DE0E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Verzenio 2342-A SGM 2024</vt:lpstr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Verzenio SGM 2342-A</dc:title>
  <dc:subject>Verzenio SGM 2342-A</dc:subject>
  <dc:creator>CVS Caremark</dc:creator>
  <cp:keywords/>
  <cp:lastModifiedBy>Ortiz, Erica M</cp:lastModifiedBy>
  <cp:revision>3</cp:revision>
  <cp:lastPrinted>2018-01-09T08:01:00Z</cp:lastPrinted>
  <dcterms:created xsi:type="dcterms:W3CDTF">2025-05-06T21:10:00Z</dcterms:created>
  <dcterms:modified xsi:type="dcterms:W3CDTF">2025-05-06T21:11:00Z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1159400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